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376E" w14:textId="7D8E26A0" w:rsidR="00445BA1" w:rsidRDefault="00AB04E6" w:rsidP="0082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</w:pPr>
      <w:r w:rsidRPr="00AB04E6">
        <w:rPr>
          <w:rFonts w:ascii="Times New Roman" w:eastAsia="Times New Roman" w:hAnsi="Times New Roman" w:cs="Times New Roman"/>
          <w:b/>
          <w:bCs/>
          <w:caps/>
          <w:color w:val="2C2F34"/>
          <w:sz w:val="24"/>
          <w:szCs w:val="24"/>
          <w:lang w:eastAsia="ru-KZ"/>
        </w:rPr>
        <w:t>trilateral</w:t>
      </w:r>
      <w:r w:rsidRPr="00820B1F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  <w:t xml:space="preserve"> </w:t>
      </w:r>
      <w:r w:rsidR="00445BA1" w:rsidRPr="00820B1F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  <w:t>MEMORANDUM OF COOPERATION</w:t>
      </w:r>
    </w:p>
    <w:p w14:paraId="4D4A6568" w14:textId="1CE032A1" w:rsidR="00445BA1" w:rsidRDefault="00445BA1" w:rsidP="0082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</w:pPr>
      <w:r w:rsidRPr="00820B1F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  <w:t>(</w:t>
      </w:r>
      <w:r w:rsidR="00556AA7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val="en-US" w:eastAsia="ru-KZ"/>
        </w:rPr>
        <w:t>Date of signing:</w:t>
      </w:r>
      <w:r w:rsidR="00556AA7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  <w:t xml:space="preserve"> </w:t>
      </w:r>
      <w:r w:rsidRPr="00820B1F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  <w:t>2019)</w:t>
      </w:r>
    </w:p>
    <w:p w14:paraId="570E7C16" w14:textId="77777777" w:rsidR="00AB04E6" w:rsidRPr="00820B1F" w:rsidRDefault="00AB04E6" w:rsidP="0082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</w:pPr>
    </w:p>
    <w:p w14:paraId="7DFC5360" w14:textId="76CC4E93" w:rsidR="00445BA1" w:rsidRPr="002C0112" w:rsidRDefault="00445BA1" w:rsidP="0044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</w:pP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Republican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state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enterprise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right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economic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management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r w:rsidR="00083B4F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>“</w:t>
      </w:r>
      <w:r w:rsidR="00AB04E6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>M.</w:t>
      </w:r>
      <w:r w:rsidR="00083B4F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 xml:space="preserve"> </w:t>
      </w:r>
      <w:proofErr w:type="spellStart"/>
      <w:r w:rsidR="00AB04E6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>A</w:t>
      </w:r>
      <w:r w:rsidR="00AF7677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>itkhozhin</w:t>
      </w:r>
      <w:proofErr w:type="spellEnd"/>
      <w:r w:rsidR="00AB04E6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 xml:space="preserve"> </w:t>
      </w:r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Institute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Molecular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Biology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Biochemistry</w:t>
      </w:r>
      <w:proofErr w:type="spellEnd"/>
      <w:r w:rsidR="00083B4F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>”</w:t>
      </w:r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Committee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Science</w:t>
      </w:r>
      <w:r w:rsidR="0049611E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 xml:space="preserve"> of the Ministry of </w:t>
      </w:r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Education </w:t>
      </w:r>
      <w:r w:rsidR="0049611E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 xml:space="preserve">and </w:t>
      </w:r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Science </w:t>
      </w:r>
      <w:r w:rsidR="0049611E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 xml:space="preserve">of the </w:t>
      </w:r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Republic </w:t>
      </w:r>
      <w:r w:rsidR="0049611E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 xml:space="preserve">of </w:t>
      </w:r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Kazakhstan,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on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the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one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hand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,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and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the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val="en-US" w:eastAsia="ru-KZ"/>
        </w:rPr>
        <w:t>F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ederal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val="en-US" w:eastAsia="ru-KZ"/>
        </w:rPr>
        <w:t>S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tate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val="en-US" w:eastAsia="ru-KZ"/>
        </w:rPr>
        <w:t>B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udgetary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val="en-US" w:eastAsia="ru-KZ"/>
        </w:rPr>
        <w:t>I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nstitution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“</w:t>
      </w:r>
      <w:proofErr w:type="spellStart"/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Almazov</w:t>
      </w:r>
      <w:proofErr w:type="spellEnd"/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National Medical Research Center"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of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the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Ministry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of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Health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of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the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Russian Federation,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on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the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other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hand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, 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and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Non-</w:t>
      </w:r>
      <w:proofErr w:type="spellStart"/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state</w:t>
      </w:r>
      <w:proofErr w:type="spellEnd"/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val="en-US" w:eastAsia="ru-KZ"/>
        </w:rPr>
        <w:t>E</w:t>
      </w:r>
      <w:proofErr w:type="spellStart"/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ducational</w:t>
      </w:r>
      <w:proofErr w:type="spellEnd"/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 xml:space="preserve"> </w:t>
      </w:r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val="en-US" w:eastAsia="ru-KZ"/>
        </w:rPr>
        <w:t>I</w:t>
      </w:r>
      <w:proofErr w:type="spellStart"/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nstitution</w:t>
      </w:r>
      <w:proofErr w:type="spellEnd"/>
      <w:r w:rsidR="00AB04E6"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val="en-US" w:eastAsia="ru-KZ"/>
        </w:rPr>
        <w:t xml:space="preserve"> </w:t>
      </w:r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"</w:t>
      </w:r>
      <w:proofErr w:type="spellStart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Kazakh</w:t>
      </w:r>
      <w:proofErr w:type="spellEnd"/>
      <w:r w:rsidRPr="002C0112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lang w:eastAsia="ru-KZ"/>
        </w:rPr>
        <w:t>-Russian Medical University".</w:t>
      </w:r>
    </w:p>
    <w:p w14:paraId="6CF752FE" w14:textId="77777777" w:rsidR="00355879" w:rsidRPr="00AB04E6" w:rsidRDefault="00355879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</w:pPr>
      <w:r w:rsidRPr="0035587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 </w:t>
      </w:r>
    </w:p>
    <w:p w14:paraId="2B55077B" w14:textId="77777777" w:rsidR="00445BA1" w:rsidRPr="007A27D9" w:rsidRDefault="00445BA1" w:rsidP="0044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</w:pPr>
      <w:r w:rsidRPr="007A27D9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  <w:t>SUBJECT OF THE AGREEMENT</w:t>
      </w:r>
    </w:p>
    <w:p w14:paraId="780CB6F9" w14:textId="44C43BC0" w:rsidR="00445BA1" w:rsidRPr="00445BA1" w:rsidRDefault="00445BA1" w:rsidP="0044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The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subject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this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Memorandum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organization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development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cooperation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research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field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Parties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establishment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a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system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mutually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beneficial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partnerships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conducting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joint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research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projects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field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fundamental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medicine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within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framework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AE7881" w:rsidRPr="00AE788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Eurasian</w:t>
      </w:r>
      <w:proofErr w:type="spellEnd"/>
      <w:r w:rsidR="00AE7881" w:rsidRPr="00AE788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Economic Community</w:t>
      </w:r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exchange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publications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well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cultural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cooperation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.</w:t>
      </w:r>
    </w:p>
    <w:p w14:paraId="1AD45EA1" w14:textId="77777777" w:rsidR="00445BA1" w:rsidRPr="00445BA1" w:rsidRDefault="00445BA1" w:rsidP="0044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The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Parties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intend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to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establish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develop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cooperation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based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principles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equality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mutual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benefit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mutual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understanding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respect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trust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. The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Parties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establish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that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main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principle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organizing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their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cooperation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complete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independence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Parties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implementation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financial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economic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activities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.</w:t>
      </w:r>
    </w:p>
    <w:p w14:paraId="0A0CF2CD" w14:textId="603EF6D1" w:rsidR="00445BA1" w:rsidRPr="00355879" w:rsidRDefault="00445BA1" w:rsidP="0044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This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Memorandum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does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not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limit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further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development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relations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between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Parties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fields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education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science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does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not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exclude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other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forms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cooperation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that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may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be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proposed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initiative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each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Parties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secured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by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additional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agreements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.</w:t>
      </w:r>
    </w:p>
    <w:p w14:paraId="426CE9A0" w14:textId="77777777" w:rsidR="00355879" w:rsidRPr="00355879" w:rsidRDefault="00355879" w:rsidP="00355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355879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 </w:t>
      </w:r>
    </w:p>
    <w:p w14:paraId="6C7BFD75" w14:textId="77777777" w:rsidR="00445BA1" w:rsidRPr="00586958" w:rsidRDefault="00445BA1" w:rsidP="0044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</w:pPr>
      <w:r w:rsidRPr="00586958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ru-KZ"/>
        </w:rPr>
        <w:t>FORMS AND ORGANIZATION OF COOPERATION</w:t>
      </w:r>
    </w:p>
    <w:p w14:paraId="7355C8AD" w14:textId="735EEEDE" w:rsidR="00445BA1" w:rsidRDefault="00445BA1" w:rsidP="00445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The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Parties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accordance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with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their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Charters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within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their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capabilities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intend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to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cooperate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following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areas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activity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:</w:t>
      </w:r>
    </w:p>
    <w:p w14:paraId="0E2BE3A3" w14:textId="7CCA4FF6" w:rsidR="00445BA1" w:rsidRDefault="00B933B8" w:rsidP="0035587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 xml:space="preserve">planning and implementing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joint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scientific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research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form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grants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or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programs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educational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programs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higher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medical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education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biomedicine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healthcare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organization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exchange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information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4ADDFA3B" w14:textId="79C759A1" w:rsidR="00445BA1" w:rsidRDefault="00B933B8" w:rsidP="00355879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>carry out</w:t>
      </w:r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accordance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with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established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procedure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mutual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exchange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information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scientific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educational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materials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accumulated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experience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on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issues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related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to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conducting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research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jointly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agreed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areas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including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providing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each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other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with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materials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necessary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for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each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Parties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to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conduct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scientific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research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="00F42551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 xml:space="preserve"> indicated </w:t>
      </w:r>
      <w:r w:rsidR="009321F4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>areas</w:t>
      </w:r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4A971EE1" w14:textId="50D23BFB" w:rsidR="00445BA1" w:rsidRDefault="00445BA1" w:rsidP="00355879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based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joint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scientific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research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activities</w:t>
      </w:r>
      <w:proofErr w:type="spellEnd"/>
      <w:r w:rsidR="00642CC7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 xml:space="preserve"> results</w:t>
      </w:r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prepare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implement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joint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publications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including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scientific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reports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articles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manuals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6969C6BC" w14:textId="1CC1670F" w:rsidR="00445BA1" w:rsidRDefault="00445BA1" w:rsidP="00355879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organize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implement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exchange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undergraduates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doctoral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students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biomedical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areas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providing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them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with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necessary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conditions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for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expanding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theoretical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practical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knowledge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well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continuous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professional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development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specialists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5C1126A9" w14:textId="6B02E599" w:rsidR="00445BA1" w:rsidRDefault="00445BA1" w:rsidP="00355879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organize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implement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cooperation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internship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residency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master's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doctoral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programs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such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programs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are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possible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to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implement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65D35DE8" w14:textId="6ED65D46" w:rsidR="00445BA1" w:rsidRDefault="00445BA1" w:rsidP="00355879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inform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each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other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about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scientific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conferences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seminars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exhibitions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other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events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invite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representatives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Contracting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Parties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to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participate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them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well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hold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joint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seminars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conferences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7A16A3A1" w14:textId="103ADADC" w:rsidR="00445BA1" w:rsidRDefault="00445BA1" w:rsidP="00355879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organize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exchange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technical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other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documentation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information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necessary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for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implementation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this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Memorandum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this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does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not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contradict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previous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obligations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(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or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)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such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information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not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a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commercial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secret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Parties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630D9C13" w14:textId="334DE5B4" w:rsidR="00445BA1" w:rsidRDefault="00445BA1" w:rsidP="00355879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invite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leading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professors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experts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to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conduct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a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series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lectures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master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classes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topical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issues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biomedicine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71950E32" w14:textId="3ED564E9" w:rsidR="00445BA1" w:rsidRDefault="00445BA1" w:rsidP="00355879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lastRenderedPageBreak/>
        <w:t>carry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out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mutual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consultations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provide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methodological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support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course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scientific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research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in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agreed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areas</w:t>
      </w:r>
      <w:proofErr w:type="spellEnd"/>
      <w:r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302378FD" w14:textId="28C682E6" w:rsidR="00445BA1" w:rsidRDefault="00DD5FD3" w:rsidP="00355879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 xml:space="preserve">elaborate </w:t>
      </w:r>
      <w:r w:rsidR="008F16E8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 xml:space="preserve">and develop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joint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scientific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educational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cultural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strategies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programs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;</w:t>
      </w:r>
    </w:p>
    <w:p w14:paraId="35CCC38A" w14:textId="1DDAE0A5" w:rsidR="00445BA1" w:rsidRPr="00355879" w:rsidRDefault="00194667" w:rsidP="00355879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>do</w:t>
      </w:r>
      <w:r w:rsidR="00BB778F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 xml:space="preserve">ing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other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activities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that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contribute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to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strengthening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partnerships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between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the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Parties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expanding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areas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and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r w:rsidR="008F16E8">
        <w:rPr>
          <w:rFonts w:ascii="Times New Roman" w:eastAsia="Times New Roman" w:hAnsi="Times New Roman" w:cs="Times New Roman"/>
          <w:color w:val="2C2F34"/>
          <w:sz w:val="24"/>
          <w:szCs w:val="24"/>
          <w:lang w:val="en-US" w:eastAsia="ru-KZ"/>
        </w:rPr>
        <w:t xml:space="preserve">direction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of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</w:t>
      </w:r>
      <w:proofErr w:type="spellStart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cooperation</w:t>
      </w:r>
      <w:proofErr w:type="spellEnd"/>
      <w:r w:rsidR="00445BA1" w:rsidRPr="00445BA1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.</w:t>
      </w:r>
    </w:p>
    <w:p w14:paraId="1973B484" w14:textId="77777777" w:rsidR="00CC5310" w:rsidRPr="00355879" w:rsidRDefault="00CC5310" w:rsidP="00355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5310" w:rsidRPr="0035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21D8"/>
    <w:multiLevelType w:val="multilevel"/>
    <w:tmpl w:val="094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61B51"/>
    <w:multiLevelType w:val="multilevel"/>
    <w:tmpl w:val="75A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242CB"/>
    <w:multiLevelType w:val="multilevel"/>
    <w:tmpl w:val="3A74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6241D"/>
    <w:multiLevelType w:val="multilevel"/>
    <w:tmpl w:val="383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D631D"/>
    <w:multiLevelType w:val="multilevel"/>
    <w:tmpl w:val="5AE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83011"/>
    <w:multiLevelType w:val="multilevel"/>
    <w:tmpl w:val="586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37C90"/>
    <w:multiLevelType w:val="multilevel"/>
    <w:tmpl w:val="CC36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C10A3"/>
    <w:multiLevelType w:val="multilevel"/>
    <w:tmpl w:val="CCC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57224"/>
    <w:multiLevelType w:val="multilevel"/>
    <w:tmpl w:val="355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94217"/>
    <w:multiLevelType w:val="multilevel"/>
    <w:tmpl w:val="8056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92976"/>
    <w:multiLevelType w:val="multilevel"/>
    <w:tmpl w:val="8FFC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43147">
    <w:abstractNumId w:val="1"/>
  </w:num>
  <w:num w:numId="2" w16cid:durableId="1986546873">
    <w:abstractNumId w:val="7"/>
  </w:num>
  <w:num w:numId="3" w16cid:durableId="225995924">
    <w:abstractNumId w:val="8"/>
  </w:num>
  <w:num w:numId="4" w16cid:durableId="929041590">
    <w:abstractNumId w:val="4"/>
  </w:num>
  <w:num w:numId="5" w16cid:durableId="1615402598">
    <w:abstractNumId w:val="10"/>
  </w:num>
  <w:num w:numId="6" w16cid:durableId="53892502">
    <w:abstractNumId w:val="5"/>
  </w:num>
  <w:num w:numId="7" w16cid:durableId="414939178">
    <w:abstractNumId w:val="9"/>
  </w:num>
  <w:num w:numId="8" w16cid:durableId="1106729584">
    <w:abstractNumId w:val="3"/>
  </w:num>
  <w:num w:numId="9" w16cid:durableId="1165894901">
    <w:abstractNumId w:val="2"/>
  </w:num>
  <w:num w:numId="10" w16cid:durableId="2133208766">
    <w:abstractNumId w:val="6"/>
  </w:num>
  <w:num w:numId="11" w16cid:durableId="195998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5D"/>
    <w:rsid w:val="00083B4F"/>
    <w:rsid w:val="00194667"/>
    <w:rsid w:val="0024052D"/>
    <w:rsid w:val="002620E6"/>
    <w:rsid w:val="002C0112"/>
    <w:rsid w:val="002E6A84"/>
    <w:rsid w:val="00355879"/>
    <w:rsid w:val="00445BA1"/>
    <w:rsid w:val="0049611E"/>
    <w:rsid w:val="004A0EEF"/>
    <w:rsid w:val="00524DD3"/>
    <w:rsid w:val="00556AA7"/>
    <w:rsid w:val="005604E8"/>
    <w:rsid w:val="00586958"/>
    <w:rsid w:val="00642CC7"/>
    <w:rsid w:val="00703DBA"/>
    <w:rsid w:val="007A27D9"/>
    <w:rsid w:val="007E204A"/>
    <w:rsid w:val="00820B1F"/>
    <w:rsid w:val="008F16E8"/>
    <w:rsid w:val="009321F4"/>
    <w:rsid w:val="00AB04E6"/>
    <w:rsid w:val="00AE7881"/>
    <w:rsid w:val="00AF7677"/>
    <w:rsid w:val="00B54270"/>
    <w:rsid w:val="00B933B8"/>
    <w:rsid w:val="00BB778F"/>
    <w:rsid w:val="00CC5310"/>
    <w:rsid w:val="00DD5FD3"/>
    <w:rsid w:val="00E07B5D"/>
    <w:rsid w:val="00F42551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1611"/>
  <w15:chartTrackingRefBased/>
  <w15:docId w15:val="{A4A39046-3390-419E-89E8-08ED8F3F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355879"/>
    <w:rPr>
      <w:b/>
      <w:bCs/>
    </w:rPr>
  </w:style>
  <w:style w:type="character" w:styleId="a5">
    <w:name w:val="Emphasis"/>
    <w:basedOn w:val="a0"/>
    <w:uiPriority w:val="20"/>
    <w:qFormat/>
    <w:rsid w:val="00355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5</cp:revision>
  <dcterms:created xsi:type="dcterms:W3CDTF">2022-11-01T09:20:00Z</dcterms:created>
  <dcterms:modified xsi:type="dcterms:W3CDTF">2022-11-02T10:04:00Z</dcterms:modified>
</cp:coreProperties>
</file>